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744DC" w14:textId="0ACE2A39" w:rsidR="006752F9" w:rsidRPr="0026598A" w:rsidRDefault="006752F9" w:rsidP="004E03AF">
      <w:pPr>
        <w:pStyle w:val="Akapitzlist"/>
        <w:spacing w:before="120" w:after="120" w:line="288"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 xml:space="preserve">Załącznik nr 7 do Regulaminu wyboru projektów </w:t>
      </w:r>
    </w:p>
    <w:p w14:paraId="6F1824CA" w14:textId="77777777" w:rsidR="003945F8" w:rsidRPr="0026598A" w:rsidRDefault="003945F8" w:rsidP="004E03AF">
      <w:pPr>
        <w:pStyle w:val="Tytu"/>
        <w:spacing w:line="288" w:lineRule="auto"/>
        <w:rPr>
          <w:rFonts w:ascii="Open Sans" w:hAnsi="Open Sans" w:cs="Open Sans"/>
        </w:rPr>
      </w:pPr>
    </w:p>
    <w:p w14:paraId="5E48D0B6" w14:textId="3DD7BB4C" w:rsidR="0073442D" w:rsidRPr="0026598A" w:rsidRDefault="00A60C66" w:rsidP="009D6FFB">
      <w:pPr>
        <w:pStyle w:val="Nagwek2"/>
        <w:spacing w:before="720" w:line="288" w:lineRule="auto"/>
        <w:jc w:val="center"/>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9D6FFB">
        <w:rPr>
          <w:rFonts w:ascii="Open Sans" w:hAnsi="Open Sans" w:cs="Open Sans"/>
        </w:rPr>
        <w:t xml:space="preserve"> </w:t>
      </w:r>
      <w:r w:rsidRPr="0026598A">
        <w:rPr>
          <w:rFonts w:ascii="Open Sans" w:hAnsi="Open Sans" w:cs="Open Sans"/>
        </w:rPr>
        <w:t>na lata 2021-2027</w:t>
      </w:r>
    </w:p>
    <w:p w14:paraId="42488191" w14:textId="77777777" w:rsidR="006752F9" w:rsidRPr="0026598A" w:rsidRDefault="002560A8" w:rsidP="004E03AF">
      <w:pPr>
        <w:pStyle w:val="Nagwek2"/>
        <w:spacing w:before="720" w:line="288"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4E03AF">
      <w:pPr>
        <w:pStyle w:val="Nagwek2"/>
        <w:spacing w:line="288"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4E03AF">
      <w:pPr>
        <w:pStyle w:val="Nagwek2"/>
        <w:spacing w:line="288" w:lineRule="auto"/>
        <w:rPr>
          <w:rFonts w:ascii="Open Sans" w:hAnsi="Open Sans" w:cs="Open Sans"/>
        </w:rPr>
      </w:pPr>
      <w:r w:rsidRPr="0026598A">
        <w:rPr>
          <w:rFonts w:ascii="Open Sans" w:hAnsi="Open Sans" w:cs="Open Sans"/>
        </w:rPr>
        <w:t>Koszty pośrednie</w:t>
      </w:r>
    </w:p>
    <w:p w14:paraId="2DB8ED93" w14:textId="350A5F81" w:rsidR="00F85F25" w:rsidRPr="0026598A" w:rsidRDefault="00164F14" w:rsidP="004E03AF">
      <w:pPr>
        <w:spacing w:before="120" w:after="120" w:line="288"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7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4E03AF">
      <w:pPr>
        <w:pStyle w:val="Nagwek2"/>
        <w:spacing w:line="288"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4E03AF">
      <w:pPr>
        <w:spacing w:before="120" w:after="120" w:line="288"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4E03AF">
      <w:pPr>
        <w:pStyle w:val="Nagwek2"/>
        <w:spacing w:line="288"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4E03AF">
      <w:pPr>
        <w:numPr>
          <w:ilvl w:val="0"/>
          <w:numId w:val="4"/>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w:t>
      </w:r>
      <w:proofErr w:type="gramStart"/>
      <w:r w:rsidR="00E3659F" w:rsidRPr="0026598A">
        <w:rPr>
          <w:rFonts w:ascii="Open Sans" w:hAnsi="Open Sans" w:cs="Open Sans"/>
          <w:sz w:val="24"/>
          <w:szCs w:val="24"/>
        </w:rPr>
        <w:t xml:space="preserve">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w:t>
      </w:r>
      <w:proofErr w:type="gramEnd"/>
      <w:r w:rsidR="00D668E6" w:rsidRPr="0026598A">
        <w:rPr>
          <w:rFonts w:ascii="Open Sans" w:hAnsi="Open Sans" w:cs="Open Sans"/>
          <w:sz w:val="24"/>
          <w:szCs w:val="24"/>
        </w:rPr>
        <w:t xml:space="preserv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4E03AF">
      <w:pPr>
        <w:pStyle w:val="Default"/>
        <w:numPr>
          <w:ilvl w:val="0"/>
          <w:numId w:val="4"/>
        </w:numPr>
        <w:spacing w:before="120" w:after="120" w:line="288"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 xml:space="preserve">sprzedający środek trwały wystawił deklarację określającą jego pochodzenie, </w:t>
      </w:r>
    </w:p>
    <w:p w14:paraId="6A18BC52" w14:textId="523C7882"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lastRenderedPageBreak/>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4E03AF">
      <w:pPr>
        <w:pStyle w:val="Akapitzlist"/>
        <w:numPr>
          <w:ilvl w:val="0"/>
          <w:numId w:val="4"/>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4E03AF">
      <w:pPr>
        <w:pStyle w:val="Nagwek2"/>
        <w:spacing w:line="288"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4E03AF">
      <w:pPr>
        <w:spacing w:before="120" w:after="120" w:line="288"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4E03AF">
      <w:pPr>
        <w:spacing w:before="120" w:after="120" w:line="288"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lastRenderedPageBreak/>
        <w:t>Działania informacyjne i promocyjne</w:t>
      </w:r>
      <w:r w:rsidR="00EE5A6E" w:rsidRPr="0026598A">
        <w:rPr>
          <w:rFonts w:ascii="Open Sans" w:hAnsi="Open Sans" w:cs="Open Sans"/>
          <w:sz w:val="24"/>
          <w:szCs w:val="24"/>
        </w:rPr>
        <w:t>:</w:t>
      </w:r>
    </w:p>
    <w:p w14:paraId="0DCACA33" w14:textId="00A994E9" w:rsidR="00552262" w:rsidRPr="0026598A" w:rsidRDefault="000A0F44" w:rsidP="004E03AF">
      <w:pPr>
        <w:pStyle w:val="Tekstpodstawowy2"/>
        <w:numPr>
          <w:ilvl w:val="1"/>
          <w:numId w:val="26"/>
        </w:numPr>
        <w:spacing w:before="120" w:after="120" w:line="288"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4E03AF">
      <w:pPr>
        <w:pStyle w:val="Nagwek2"/>
        <w:spacing w:line="288" w:lineRule="auto"/>
        <w:rPr>
          <w:rFonts w:ascii="Open Sans" w:hAnsi="Open Sans" w:cs="Open Sans"/>
        </w:rPr>
      </w:pPr>
      <w:r w:rsidRPr="0026598A">
        <w:rPr>
          <w:rFonts w:ascii="Open Sans" w:hAnsi="Open Sans" w:cs="Open Sans"/>
        </w:rPr>
        <w:t>Wartości niematerialne i prawne</w:t>
      </w:r>
    </w:p>
    <w:p w14:paraId="3642C404" w14:textId="389EBC43" w:rsidR="002560A8" w:rsidRPr="0026598A" w:rsidRDefault="002560A8" w:rsidP="004E03AF">
      <w:pPr>
        <w:pStyle w:val="Akapitzlist"/>
        <w:numPr>
          <w:ilvl w:val="0"/>
          <w:numId w:val="15"/>
        </w:numPr>
        <w:autoSpaceDE w:val="0"/>
        <w:autoSpaceDN w:val="0"/>
        <w:adjustRightInd w:val="0"/>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xml:space="preserve">. Dz.U. z 2023 r. poz. </w:t>
      </w:r>
      <w:r w:rsidR="00EE5A6E" w:rsidRPr="0026598A">
        <w:rPr>
          <w:rFonts w:ascii="Open Sans" w:hAnsi="Open Sans" w:cs="Open Sans"/>
          <w:sz w:val="24"/>
          <w:szCs w:val="24"/>
        </w:rPr>
        <w:lastRenderedPageBreak/>
        <w:t xml:space="preserve">120 z </w:t>
      </w:r>
      <w:proofErr w:type="spellStart"/>
      <w:r w:rsidR="00EE5A6E" w:rsidRPr="0026598A">
        <w:rPr>
          <w:rFonts w:ascii="Open Sans" w:hAnsi="Open Sans" w:cs="Open Sans"/>
          <w:sz w:val="24"/>
          <w:szCs w:val="24"/>
        </w:rPr>
        <w:t>późn</w:t>
      </w:r>
      <w:proofErr w:type="spellEnd"/>
      <w:r w:rsidR="00EE5A6E" w:rsidRPr="0026598A">
        <w:rPr>
          <w:rFonts w:ascii="Open Sans" w:hAnsi="Open Sans" w:cs="Open Sans"/>
          <w:sz w:val="24"/>
          <w:szCs w:val="24"/>
        </w:rPr>
        <w:t xml:space="preserve">. </w:t>
      </w:r>
      <w:proofErr w:type="gramStart"/>
      <w:r w:rsidR="00EE5A6E" w:rsidRPr="0026598A">
        <w:rPr>
          <w:rFonts w:ascii="Open Sans" w:hAnsi="Open Sans" w:cs="Open Sans"/>
          <w:sz w:val="24"/>
          <w:szCs w:val="24"/>
        </w:rPr>
        <w:t>zm.)</w:t>
      </w:r>
      <w:r w:rsidRPr="0026598A">
        <w:rPr>
          <w:rFonts w:ascii="Open Sans" w:hAnsi="Open Sans" w:cs="Open Sans"/>
          <w:sz w:val="24"/>
          <w:szCs w:val="24"/>
        </w:rPr>
        <w:t>z</w:t>
      </w:r>
      <w:proofErr w:type="gramEnd"/>
      <w:r w:rsidRPr="0026598A">
        <w:rPr>
          <w:rFonts w:ascii="Open Sans" w:hAnsi="Open Sans" w:cs="Open Sans"/>
          <w:sz w:val="24"/>
          <w:szCs w:val="24"/>
        </w:rPr>
        <w:t xml:space="preserve"> zastrzeżeniem inwestycji, o których mowa </w:t>
      </w:r>
      <w:proofErr w:type="gramStart"/>
      <w:r w:rsidRPr="0026598A">
        <w:rPr>
          <w:rFonts w:ascii="Open Sans" w:hAnsi="Open Sans" w:cs="Open Sans"/>
          <w:sz w:val="24"/>
          <w:szCs w:val="24"/>
        </w:rPr>
        <w:t>w  art.</w:t>
      </w:r>
      <w:proofErr w:type="gramEnd"/>
      <w:r w:rsidRPr="0026598A">
        <w:rPr>
          <w:rFonts w:ascii="Open Sans" w:hAnsi="Open Sans" w:cs="Open Sans"/>
          <w:sz w:val="24"/>
          <w:szCs w:val="24"/>
        </w:rPr>
        <w:t xml:space="preserve">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4E03AF">
      <w:pPr>
        <w:numPr>
          <w:ilvl w:val="0"/>
          <w:numId w:val="1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4E03AF">
      <w:pPr>
        <w:pStyle w:val="mainpub"/>
        <w:spacing w:before="120" w:beforeAutospacing="0" w:after="120" w:afterAutospacing="0" w:line="288"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4E03AF">
      <w:pPr>
        <w:pStyle w:val="Akapitzlist"/>
        <w:numPr>
          <w:ilvl w:val="0"/>
          <w:numId w:val="15"/>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4E03AF">
      <w:pPr>
        <w:pStyle w:val="Akapitzlist"/>
        <w:numPr>
          <w:ilvl w:val="0"/>
          <w:numId w:val="15"/>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4E03AF">
      <w:pPr>
        <w:pStyle w:val="Nagwek2"/>
        <w:spacing w:line="288"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02908516" w:rsidR="00D65ED4" w:rsidRPr="0026598A" w:rsidRDefault="000E1A2F"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 xml:space="preserve">ategoria opisana </w:t>
      </w:r>
      <w:proofErr w:type="gramStart"/>
      <w:r w:rsidR="009E0622" w:rsidRPr="0026598A">
        <w:rPr>
          <w:rFonts w:ascii="Open Sans" w:hAnsi="Open Sans" w:cs="Open Sans"/>
          <w:iCs/>
          <w:sz w:val="24"/>
          <w:szCs w:val="24"/>
        </w:rPr>
        <w:t>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proofErr w:type="gramEnd"/>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4E03AF">
      <w:pPr>
        <w:pStyle w:val="Nagwek2"/>
        <w:spacing w:line="288" w:lineRule="auto"/>
        <w:rPr>
          <w:rFonts w:ascii="Open Sans" w:hAnsi="Open Sans" w:cs="Open Sans"/>
        </w:rPr>
      </w:pPr>
      <w:r w:rsidRPr="0026598A">
        <w:rPr>
          <w:rFonts w:ascii="Open Sans" w:hAnsi="Open Sans" w:cs="Open Sans"/>
        </w:rPr>
        <w:t>Roboty budowlane</w:t>
      </w:r>
    </w:p>
    <w:p w14:paraId="34B6EBA9" w14:textId="23FCEE82"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 xml:space="preserve">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4E03AF">
      <w:pPr>
        <w:spacing w:before="120" w:after="120" w:line="288"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w:t>
      </w:r>
      <w:r w:rsidRPr="0026598A">
        <w:rPr>
          <w:rFonts w:ascii="Open Sans" w:hAnsi="Open Sans" w:cs="Open Sans"/>
          <w:sz w:val="24"/>
          <w:szCs w:val="24"/>
        </w:rPr>
        <w:lastRenderedPageBreak/>
        <w:t>przeprowadzono ponowną ocenę oddziaływania na środowisko mogą być uznane za kwalifikowalne.</w:t>
      </w:r>
    </w:p>
    <w:p w14:paraId="39B6873D" w14:textId="6B796AB9"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środków trwałych nie zainstalowanych na stałe w projekcie, będą mogły być uznane za 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w:t>
      </w:r>
      <w:proofErr w:type="gramStart"/>
      <w:r w:rsidR="00665487" w:rsidRPr="0026598A">
        <w:rPr>
          <w:rFonts w:ascii="Open Sans" w:hAnsi="Open Sans" w:cs="Open Sans"/>
          <w:iCs/>
          <w:sz w:val="24"/>
          <w:szCs w:val="24"/>
        </w:rPr>
        <w:t>uwzględniony  w</w:t>
      </w:r>
      <w:proofErr w:type="gramEnd"/>
      <w:r w:rsidR="00665487" w:rsidRPr="0026598A">
        <w:rPr>
          <w:rFonts w:ascii="Open Sans" w:hAnsi="Open Sans" w:cs="Open Sans"/>
          <w:iCs/>
          <w:sz w:val="24"/>
          <w:szCs w:val="24"/>
        </w:rPr>
        <w:t xml:space="preserve"> zamówieniu dotyczącym robót budowlanych w całości powinien być ujęty w kategorii roboty budowlane.</w:t>
      </w:r>
    </w:p>
    <w:p w14:paraId="2A6F0F72"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zakresie, w jakim obowiązek </w:t>
      </w:r>
      <w:r w:rsidRPr="0026598A">
        <w:rPr>
          <w:rFonts w:ascii="Open Sans" w:hAnsi="Open Sans" w:cs="Open Sans"/>
          <w:sz w:val="24"/>
          <w:szCs w:val="24"/>
        </w:rPr>
        <w:lastRenderedPageBreak/>
        <w:t xml:space="preserve">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 xml:space="preserve">Programu </w:t>
      </w:r>
      <w:proofErr w:type="spellStart"/>
      <w:r w:rsidR="007029A8" w:rsidRPr="0026598A">
        <w:rPr>
          <w:rFonts w:ascii="Open Sans" w:hAnsi="Open Sans" w:cs="Open Sans"/>
          <w:sz w:val="24"/>
          <w:szCs w:val="24"/>
        </w:rPr>
        <w:t>FE</w:t>
      </w:r>
      <w:r w:rsidR="00CA60D2" w:rsidRPr="0026598A">
        <w:rPr>
          <w:rFonts w:ascii="Open Sans" w:hAnsi="Open Sans" w:cs="Open Sans"/>
          <w:sz w:val="24"/>
          <w:szCs w:val="24"/>
        </w:rPr>
        <w:t>nIKS</w:t>
      </w:r>
      <w:proofErr w:type="spellEnd"/>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4E03AF">
      <w:pPr>
        <w:pStyle w:val="Akapitzlist"/>
        <w:numPr>
          <w:ilvl w:val="0"/>
          <w:numId w:val="2"/>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w:t>
      </w:r>
      <w:proofErr w:type="gramStart"/>
      <w:r w:rsidRPr="0026598A">
        <w:rPr>
          <w:rFonts w:ascii="Open Sans" w:hAnsi="Open Sans" w:cs="Open Sans"/>
          <w:sz w:val="24"/>
          <w:szCs w:val="24"/>
        </w:rPr>
        <w:t>dróg  poza</w:t>
      </w:r>
      <w:proofErr w:type="gramEnd"/>
      <w:r w:rsidRPr="0026598A">
        <w:rPr>
          <w:rFonts w:ascii="Open Sans" w:hAnsi="Open Sans" w:cs="Open Sans"/>
          <w:sz w:val="24"/>
          <w:szCs w:val="24"/>
        </w:rPr>
        <w:t xml:space="preserve"> pasem robót wyjątkowo mogą być kwalifikowane, jeżeli wynikają z warunków zezwolenia zarządcy drogi na zajęcie pasa drogowego w przypadkach: </w:t>
      </w:r>
    </w:p>
    <w:p w14:paraId="4EEC8575"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t xml:space="preserve">dróg gruntowych. Przez drogi gruntowe należy rozumieć drogi z nawierzchnią z gruntu rodzimego oraz utrwalone kruszywem, np. żwirem, </w:t>
      </w:r>
      <w:proofErr w:type="gramStart"/>
      <w:r w:rsidRPr="0026598A">
        <w:rPr>
          <w:rFonts w:ascii="Open Sans" w:hAnsi="Open Sans" w:cs="Open Sans"/>
          <w:sz w:val="24"/>
          <w:szCs w:val="24"/>
        </w:rPr>
        <w:t>tłuczniem  itp.</w:t>
      </w:r>
      <w:proofErr w:type="gramEnd"/>
    </w:p>
    <w:p w14:paraId="62C8AD92"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lastRenderedPageBreak/>
        <w:t>dróg utwardzonych (asfaltowych, kostka brukowa itp.) wyłącznie odtworzenie wierzchniej warstwy, bez warstw pozostałych związanych z podbudową.</w:t>
      </w:r>
    </w:p>
    <w:p w14:paraId="47B7B299" w14:textId="77777777" w:rsidR="006768FA" w:rsidRPr="0026598A" w:rsidRDefault="006768FA" w:rsidP="004E03AF">
      <w:pPr>
        <w:spacing w:before="120" w:after="120" w:line="288"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4E03AF">
      <w:pPr>
        <w:spacing w:before="120" w:after="120" w:line="288"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4E03AF">
      <w:pPr>
        <w:pStyle w:val="Nagwek2"/>
        <w:spacing w:line="288"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1C744540" w:rsidR="003D428E" w:rsidRPr="0026598A" w:rsidRDefault="00DF70BD" w:rsidP="004E03AF">
      <w:pPr>
        <w:spacing w:before="120" w:after="120" w:line="288" w:lineRule="auto"/>
        <w:rPr>
          <w:rFonts w:ascii="Open Sans" w:hAnsi="Open Sans" w:cs="Open Sans"/>
          <w:sz w:val="24"/>
          <w:szCs w:val="24"/>
        </w:rPr>
      </w:pPr>
      <w:r w:rsidRPr="00DF70BD">
        <w:rPr>
          <w:rFonts w:ascii="Open Sans" w:hAnsi="Open Sans" w:cs="Open Sans"/>
          <w:sz w:val="24"/>
          <w:szCs w:val="24"/>
        </w:rPr>
        <w:t xml:space="preserve">Wartość ww. elementów nie może wynieść więcej niż 20 % kosztów kwalifikowalnych projektu. W przypadku, gdy konieczność wykonania dodatkowych elementów wynika z zaleceń konserwatora zabytków wartość tych elementów nie może przekroczyć 25% kosztów kwalifikowalnych </w:t>
      </w:r>
      <w:proofErr w:type="gramStart"/>
      <w:r w:rsidRPr="00DF70BD">
        <w:rPr>
          <w:rFonts w:ascii="Open Sans" w:hAnsi="Open Sans" w:cs="Open Sans"/>
          <w:sz w:val="24"/>
          <w:szCs w:val="24"/>
        </w:rPr>
        <w:t xml:space="preserve">projektu  </w:t>
      </w:r>
      <w:r w:rsidR="003D428E" w:rsidRPr="0026598A">
        <w:rPr>
          <w:rFonts w:ascii="Open Sans" w:hAnsi="Open Sans" w:cs="Open Sans"/>
          <w:sz w:val="24"/>
          <w:szCs w:val="24"/>
        </w:rPr>
        <w:t>.</w:t>
      </w:r>
      <w:proofErr w:type="gramEnd"/>
    </w:p>
    <w:p w14:paraId="3B34218A" w14:textId="220AC264" w:rsidR="00C760F9" w:rsidRPr="0026598A" w:rsidRDefault="00A2333F" w:rsidP="004E03AF">
      <w:pPr>
        <w:pStyle w:val="Nagwek2"/>
        <w:spacing w:line="288" w:lineRule="auto"/>
        <w:rPr>
          <w:rFonts w:ascii="Open Sans" w:hAnsi="Open Sans" w:cs="Open Sans"/>
        </w:rPr>
      </w:pPr>
      <w:r w:rsidRPr="0026598A">
        <w:rPr>
          <w:rFonts w:ascii="Open Sans" w:hAnsi="Open Sans" w:cs="Open Sans"/>
        </w:rPr>
        <w:lastRenderedPageBreak/>
        <w:t>Nadzór</w:t>
      </w:r>
      <w:r w:rsidR="008F6DE7" w:rsidRPr="0026598A">
        <w:rPr>
          <w:rFonts w:ascii="Open Sans" w:hAnsi="Open Sans" w:cs="Open Sans"/>
        </w:rPr>
        <w:t>/zarządzanie inwestycją</w:t>
      </w:r>
    </w:p>
    <w:p w14:paraId="5332FEA4" w14:textId="3A1230D7"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proofErr w:type="spellStart"/>
      <w:r w:rsidR="000A0383" w:rsidRPr="0026598A">
        <w:rPr>
          <w:rFonts w:ascii="Open Sans" w:hAnsi="Open Sans" w:cs="Open Sans"/>
        </w:rPr>
        <w:t>eneficjenta</w:t>
      </w:r>
      <w:proofErr w:type="spellEnd"/>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4E03AF">
      <w:pPr>
        <w:pStyle w:val="Nagwek2"/>
        <w:spacing w:line="288"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przypisana wkładowi niepieniężnemu nie przekracza stawek rynkowych,</w:t>
      </w:r>
    </w:p>
    <w:p w14:paraId="5508A23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xml:space="preserve">, z </w:t>
      </w:r>
      <w:proofErr w:type="spellStart"/>
      <w:r w:rsidRPr="0026598A">
        <w:rPr>
          <w:rFonts w:ascii="Open Sans" w:hAnsi="Open Sans" w:cs="Open Sans"/>
        </w:rPr>
        <w:t>późn</w:t>
      </w:r>
      <w:proofErr w:type="spellEnd"/>
      <w:r w:rsidRPr="0026598A">
        <w:rPr>
          <w:rFonts w:ascii="Open Sans" w:hAnsi="Open Sans" w:cs="Open Sans"/>
        </w:rPr>
        <w:t>.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Wydatki poniesione na wycenę wkładu niepieniężnego są kwalifikowalne.</w:t>
      </w:r>
    </w:p>
    <w:p w14:paraId="54BB9B99" w14:textId="369D6E4F" w:rsidR="00063A8F" w:rsidRPr="0026598A" w:rsidRDefault="002F4671" w:rsidP="004E03AF">
      <w:pPr>
        <w:spacing w:before="120" w:after="120" w:line="288"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4E03AF">
      <w:pPr>
        <w:spacing w:before="120" w:after="120" w:line="288" w:lineRule="auto"/>
        <w:rPr>
          <w:rFonts w:ascii="Open Sans" w:hAnsi="Open Sans" w:cs="Open Sans"/>
          <w:sz w:val="24"/>
          <w:szCs w:val="24"/>
        </w:rPr>
      </w:pPr>
    </w:p>
    <w:sectPr w:rsidR="002F4671" w:rsidRPr="0026598A" w:rsidSect="000E1A2F">
      <w:headerReference w:type="default" r:id="rId8"/>
      <w:footerReference w:type="default" r:id="rId9"/>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9A4EF" w14:textId="2BCB2488" w:rsidR="00637A1E" w:rsidRDefault="009D6FFB">
    <w:pPr>
      <w:pStyle w:val="Nagwek"/>
    </w:pPr>
    <w:r>
      <w:rPr>
        <w:noProof/>
      </w:rPr>
      <w:drawing>
        <wp:inline distT="0" distB="0" distL="0" distR="0" wp14:anchorId="2B454B47" wp14:editId="1C659C6A">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9940317">
    <w:abstractNumId w:val="22"/>
  </w:num>
  <w:num w:numId="2" w16cid:durableId="9382396">
    <w:abstractNumId w:val="31"/>
  </w:num>
  <w:num w:numId="3" w16cid:durableId="185215954">
    <w:abstractNumId w:val="12"/>
  </w:num>
  <w:num w:numId="4" w16cid:durableId="400101630">
    <w:abstractNumId w:val="3"/>
  </w:num>
  <w:num w:numId="5" w16cid:durableId="562107987">
    <w:abstractNumId w:val="26"/>
  </w:num>
  <w:num w:numId="6" w16cid:durableId="655569683">
    <w:abstractNumId w:val="2"/>
  </w:num>
  <w:num w:numId="7" w16cid:durableId="408428366">
    <w:abstractNumId w:val="14"/>
  </w:num>
  <w:num w:numId="8" w16cid:durableId="742028942">
    <w:abstractNumId w:val="25"/>
  </w:num>
  <w:num w:numId="9" w16cid:durableId="609822300">
    <w:abstractNumId w:val="16"/>
  </w:num>
  <w:num w:numId="10" w16cid:durableId="629213598">
    <w:abstractNumId w:val="4"/>
  </w:num>
  <w:num w:numId="11" w16cid:durableId="715661604">
    <w:abstractNumId w:val="19"/>
  </w:num>
  <w:num w:numId="12" w16cid:durableId="760830245">
    <w:abstractNumId w:val="28"/>
  </w:num>
  <w:num w:numId="13" w16cid:durableId="843326283">
    <w:abstractNumId w:val="6"/>
  </w:num>
  <w:num w:numId="14" w16cid:durableId="1355302555">
    <w:abstractNumId w:val="23"/>
  </w:num>
  <w:num w:numId="15" w16cid:durableId="65538095">
    <w:abstractNumId w:val="17"/>
  </w:num>
  <w:num w:numId="16" w16cid:durableId="2014215527">
    <w:abstractNumId w:val="7"/>
  </w:num>
  <w:num w:numId="17" w16cid:durableId="668021815">
    <w:abstractNumId w:val="11"/>
  </w:num>
  <w:num w:numId="18" w16cid:durableId="2109348753">
    <w:abstractNumId w:val="18"/>
  </w:num>
  <w:num w:numId="19" w16cid:durableId="2045715435">
    <w:abstractNumId w:val="27"/>
  </w:num>
  <w:num w:numId="20" w16cid:durableId="215896261">
    <w:abstractNumId w:val="29"/>
  </w:num>
  <w:num w:numId="21" w16cid:durableId="1370951018">
    <w:abstractNumId w:val="10"/>
  </w:num>
  <w:num w:numId="22" w16cid:durableId="1457943655">
    <w:abstractNumId w:val="1"/>
  </w:num>
  <w:num w:numId="23" w16cid:durableId="649755104">
    <w:abstractNumId w:val="24"/>
  </w:num>
  <w:num w:numId="24" w16cid:durableId="640118497">
    <w:abstractNumId w:val="30"/>
  </w:num>
  <w:num w:numId="25" w16cid:durableId="256014489">
    <w:abstractNumId w:val="15"/>
  </w:num>
  <w:num w:numId="26" w16cid:durableId="586310200">
    <w:abstractNumId w:val="13"/>
  </w:num>
  <w:num w:numId="27" w16cid:durableId="600187317">
    <w:abstractNumId w:val="20"/>
  </w:num>
  <w:num w:numId="28" w16cid:durableId="1814832938">
    <w:abstractNumId w:val="8"/>
  </w:num>
  <w:num w:numId="29" w16cid:durableId="124466403">
    <w:abstractNumId w:val="9"/>
  </w:num>
  <w:num w:numId="30" w16cid:durableId="811753003">
    <w:abstractNumId w:val="21"/>
  </w:num>
  <w:num w:numId="31" w16cid:durableId="1668360283">
    <w:abstractNumId w:val="0"/>
  </w:num>
  <w:num w:numId="32" w16cid:durableId="1679428158">
    <w:abstractNumId w:val="5"/>
  </w:num>
  <w:num w:numId="33" w16cid:durableId="85540871">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5D14"/>
    <w:rsid w:val="000D635D"/>
    <w:rsid w:val="000E1A2F"/>
    <w:rsid w:val="000E3017"/>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A2580"/>
    <w:rsid w:val="001A5B12"/>
    <w:rsid w:val="001A7448"/>
    <w:rsid w:val="001D3380"/>
    <w:rsid w:val="001D7393"/>
    <w:rsid w:val="001F45DC"/>
    <w:rsid w:val="001F52C0"/>
    <w:rsid w:val="001F5789"/>
    <w:rsid w:val="00214B3C"/>
    <w:rsid w:val="002261A8"/>
    <w:rsid w:val="0022628A"/>
    <w:rsid w:val="00226A0D"/>
    <w:rsid w:val="00243269"/>
    <w:rsid w:val="00250BDF"/>
    <w:rsid w:val="00252D18"/>
    <w:rsid w:val="002551B2"/>
    <w:rsid w:val="002560A8"/>
    <w:rsid w:val="00261852"/>
    <w:rsid w:val="0026598A"/>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5177C"/>
    <w:rsid w:val="00464306"/>
    <w:rsid w:val="00464BD2"/>
    <w:rsid w:val="0046670A"/>
    <w:rsid w:val="00476E92"/>
    <w:rsid w:val="004A4646"/>
    <w:rsid w:val="004A78C6"/>
    <w:rsid w:val="004B01D2"/>
    <w:rsid w:val="004B4F99"/>
    <w:rsid w:val="004C2AAC"/>
    <w:rsid w:val="004C4C1A"/>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1640"/>
    <w:rsid w:val="005B5EA3"/>
    <w:rsid w:val="005D25E5"/>
    <w:rsid w:val="005D3556"/>
    <w:rsid w:val="005D6C73"/>
    <w:rsid w:val="005E1F10"/>
    <w:rsid w:val="005F2834"/>
    <w:rsid w:val="005F45BC"/>
    <w:rsid w:val="005F76CE"/>
    <w:rsid w:val="00602A44"/>
    <w:rsid w:val="00605A61"/>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6FFB"/>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50B"/>
    <w:rsid w:val="00BC78A0"/>
    <w:rsid w:val="00BE527F"/>
    <w:rsid w:val="00BF5991"/>
    <w:rsid w:val="00C00641"/>
    <w:rsid w:val="00C1018D"/>
    <w:rsid w:val="00C17903"/>
    <w:rsid w:val="00C23E3B"/>
    <w:rsid w:val="00C40239"/>
    <w:rsid w:val="00C43576"/>
    <w:rsid w:val="00C47FDA"/>
    <w:rsid w:val="00C52096"/>
    <w:rsid w:val="00C5228B"/>
    <w:rsid w:val="00C56F01"/>
    <w:rsid w:val="00C614EE"/>
    <w:rsid w:val="00C62A30"/>
    <w:rsid w:val="00C732B1"/>
    <w:rsid w:val="00C738FD"/>
    <w:rsid w:val="00C760F9"/>
    <w:rsid w:val="00C80F7B"/>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65ED4"/>
    <w:rsid w:val="00D668E6"/>
    <w:rsid w:val="00D6692B"/>
    <w:rsid w:val="00D76D55"/>
    <w:rsid w:val="00D77DC3"/>
    <w:rsid w:val="00D92A20"/>
    <w:rsid w:val="00DA7492"/>
    <w:rsid w:val="00DB262E"/>
    <w:rsid w:val="00DB42BD"/>
    <w:rsid w:val="00DC35C4"/>
    <w:rsid w:val="00DC3897"/>
    <w:rsid w:val="00DD16F4"/>
    <w:rsid w:val="00DD402F"/>
    <w:rsid w:val="00DF3C41"/>
    <w:rsid w:val="00DF4C2D"/>
    <w:rsid w:val="00DF70BD"/>
    <w:rsid w:val="00E01036"/>
    <w:rsid w:val="00E1620F"/>
    <w:rsid w:val="00E20053"/>
    <w:rsid w:val="00E2089A"/>
    <w:rsid w:val="00E21DF7"/>
    <w:rsid w:val="00E35FA4"/>
    <w:rsid w:val="00E3659F"/>
    <w:rsid w:val="00E44697"/>
    <w:rsid w:val="00E56F9A"/>
    <w:rsid w:val="00E62A95"/>
    <w:rsid w:val="00E75909"/>
    <w:rsid w:val="00E77BF3"/>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21B8-B7D2-45C5-9903-528A119E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2854</Words>
  <Characters>17129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7 do RWP dodatowe warunki kwalifikowalności</dc:title>
  <dc:subject/>
  <dc:creator>Bartłomiej Maliszewski</dc:creator>
  <cp:keywords/>
  <dc:description/>
  <cp:lastModifiedBy>Maliszewski Bartłomiej</cp:lastModifiedBy>
  <cp:revision>5</cp:revision>
  <cp:lastPrinted>2023-05-19T11:47:00Z</cp:lastPrinted>
  <dcterms:created xsi:type="dcterms:W3CDTF">2025-08-19T18:00:00Z</dcterms:created>
  <dcterms:modified xsi:type="dcterms:W3CDTF">2025-09-24T04:59:00Z</dcterms:modified>
</cp:coreProperties>
</file>